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D1B" w:rsidRDefault="007D5BE8" w:rsidP="00944B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-671195</wp:posOffset>
            </wp:positionV>
            <wp:extent cx="2088324" cy="638175"/>
            <wp:effectExtent l="0" t="0" r="762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19 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357" cy="649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B6E">
        <w:rPr>
          <w:rFonts w:ascii="Arial" w:hAnsi="Arial" w:cs="Arial"/>
          <w:b/>
          <w:sz w:val="28"/>
          <w:szCs w:val="28"/>
        </w:rPr>
        <w:t>SMLOUVA</w:t>
      </w:r>
    </w:p>
    <w:p w:rsidR="00944B6E" w:rsidRDefault="00944B6E" w:rsidP="00944B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prodlouženém pobytu v DD</w:t>
      </w:r>
    </w:p>
    <w:p w:rsidR="00944B6E" w:rsidRDefault="00944B6E" w:rsidP="00944B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uzavřená podle § 24, odst. 4 zákona č. 109/2002 Sb., o výkonu ústavní výchovy nebo ochranné výchovy ve školských zařízeních a o preventivně výchovné péči ve školských zařízeních a o změně dalších zákonů ve znění pozdějších předpisů a podle §§ 159 – 170 správního řádu</w:t>
      </w:r>
    </w:p>
    <w:p w:rsidR="00944B6E" w:rsidRDefault="00944B6E" w:rsidP="00944B6E">
      <w:pPr>
        <w:rPr>
          <w:rFonts w:ascii="Arial" w:hAnsi="Arial" w:cs="Arial"/>
          <w:sz w:val="24"/>
          <w:szCs w:val="24"/>
        </w:rPr>
      </w:pPr>
    </w:p>
    <w:p w:rsidR="00944B6E" w:rsidRDefault="00944B6E" w:rsidP="00944B6E">
      <w:pPr>
        <w:tabs>
          <w:tab w:val="left" w:pos="3690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strany:</w:t>
      </w:r>
    </w:p>
    <w:p w:rsidR="00C10DAC" w:rsidRDefault="00C10DAC" w:rsidP="00944B6E">
      <w:pPr>
        <w:tabs>
          <w:tab w:val="left" w:pos="3690"/>
        </w:tabs>
        <w:contextualSpacing/>
        <w:rPr>
          <w:rFonts w:ascii="Arial" w:hAnsi="Arial" w:cs="Arial"/>
          <w:sz w:val="24"/>
          <w:szCs w:val="24"/>
        </w:rPr>
      </w:pPr>
    </w:p>
    <w:p w:rsidR="00944B6E" w:rsidRDefault="00944B6E" w:rsidP="00944B6E">
      <w:pPr>
        <w:tabs>
          <w:tab w:val="left" w:pos="369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Dětský domov </w:t>
      </w:r>
      <w:r w:rsidR="007D2F16">
        <w:rPr>
          <w:rFonts w:ascii="Arial" w:hAnsi="Arial" w:cs="Arial"/>
          <w:b/>
          <w:sz w:val="24"/>
          <w:szCs w:val="24"/>
        </w:rPr>
        <w:t>Šance</w:t>
      </w:r>
      <w:r>
        <w:rPr>
          <w:rFonts w:ascii="Arial" w:hAnsi="Arial" w:cs="Arial"/>
          <w:b/>
          <w:sz w:val="24"/>
          <w:szCs w:val="24"/>
        </w:rPr>
        <w:t>, Olomouc, U Sportovní haly 1a</w:t>
      </w:r>
    </w:p>
    <w:p w:rsidR="00944B6E" w:rsidRDefault="00944B6E" w:rsidP="00944B6E">
      <w:pPr>
        <w:tabs>
          <w:tab w:val="left" w:pos="369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 sídlem U Sportovní haly 1a, 779 00  Olomouc, IČ 00849235</w:t>
      </w:r>
    </w:p>
    <w:p w:rsidR="00944B6E" w:rsidRDefault="00944B6E" w:rsidP="00944B6E">
      <w:pPr>
        <w:tabs>
          <w:tab w:val="left" w:pos="3690"/>
        </w:tabs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zastoupený</w:t>
      </w:r>
      <w:r w:rsidR="00C10DAC">
        <w:rPr>
          <w:rFonts w:ascii="Arial" w:hAnsi="Arial" w:cs="Arial"/>
          <w:b/>
          <w:sz w:val="24"/>
          <w:szCs w:val="24"/>
        </w:rPr>
        <w:t xml:space="preserve"> </w:t>
      </w:r>
      <w:r w:rsidR="00641343">
        <w:rPr>
          <w:rFonts w:ascii="Arial" w:hAnsi="Arial" w:cs="Arial"/>
          <w:b/>
          <w:sz w:val="24"/>
          <w:szCs w:val="24"/>
        </w:rPr>
        <w:t>PhDr. Mgr. Petrem Němcem</w:t>
      </w:r>
      <w:bookmarkStart w:id="0" w:name="_GoBack"/>
      <w:bookmarkEnd w:id="0"/>
      <w:r w:rsidR="00C10DAC">
        <w:rPr>
          <w:rFonts w:ascii="Arial" w:hAnsi="Arial" w:cs="Arial"/>
          <w:b/>
          <w:sz w:val="24"/>
          <w:szCs w:val="24"/>
        </w:rPr>
        <w:t xml:space="preserve">, ředitelem </w:t>
      </w:r>
      <w:r w:rsidR="00C10DAC" w:rsidRPr="00C10DAC">
        <w:rPr>
          <w:rFonts w:ascii="Arial" w:hAnsi="Arial" w:cs="Arial"/>
          <w:b/>
          <w:i/>
          <w:sz w:val="24"/>
          <w:szCs w:val="24"/>
        </w:rPr>
        <w:t>(dále jen „zařízení“)</w:t>
      </w:r>
    </w:p>
    <w:p w:rsidR="00C10DAC" w:rsidRDefault="00C10DAC" w:rsidP="00944B6E">
      <w:pPr>
        <w:tabs>
          <w:tab w:val="left" w:pos="3690"/>
        </w:tabs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:rsidR="004C3C07" w:rsidRDefault="004C3C07" w:rsidP="00944B6E">
      <w:pPr>
        <w:tabs>
          <w:tab w:val="left" w:pos="3690"/>
        </w:tabs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:rsidR="00C10DAC" w:rsidRDefault="00C10DAC" w:rsidP="00944B6E">
      <w:pPr>
        <w:tabs>
          <w:tab w:val="left" w:pos="369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</w:p>
    <w:p w:rsidR="00C10DAC" w:rsidRDefault="00C10DAC" w:rsidP="00944B6E">
      <w:pPr>
        <w:tabs>
          <w:tab w:val="left" w:pos="3690"/>
        </w:tabs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C3C07" w:rsidRDefault="004C3C07" w:rsidP="00944B6E">
      <w:pPr>
        <w:tabs>
          <w:tab w:val="left" w:pos="3690"/>
        </w:tabs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10DAC" w:rsidRDefault="00C10DAC" w:rsidP="00944B6E">
      <w:pPr>
        <w:tabs>
          <w:tab w:val="left" w:pos="369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zletilá nezaopatřen</w:t>
      </w:r>
      <w:r w:rsidR="002E7232">
        <w:rPr>
          <w:rFonts w:ascii="Arial" w:hAnsi="Arial" w:cs="Arial"/>
          <w:b/>
          <w:sz w:val="24"/>
          <w:szCs w:val="24"/>
        </w:rPr>
        <w:t xml:space="preserve">á </w:t>
      </w:r>
      <w:r>
        <w:rPr>
          <w:rFonts w:ascii="Arial" w:hAnsi="Arial" w:cs="Arial"/>
          <w:b/>
          <w:sz w:val="24"/>
          <w:szCs w:val="24"/>
        </w:rPr>
        <w:t>osob</w:t>
      </w:r>
      <w:r w:rsidR="002E7232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:rsidR="00C10DAC" w:rsidRDefault="00C10DAC" w:rsidP="00944B6E">
      <w:pPr>
        <w:tabs>
          <w:tab w:val="left" w:pos="369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datum narození, ev.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r.č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proofErr w:type="gramEnd"/>
      <w:r>
        <w:rPr>
          <w:rFonts w:ascii="Arial" w:hAnsi="Arial" w:cs="Arial"/>
          <w:b/>
          <w:sz w:val="24"/>
          <w:szCs w:val="24"/>
        </w:rPr>
        <w:t>:</w:t>
      </w:r>
    </w:p>
    <w:p w:rsidR="00C10DAC" w:rsidRDefault="00C10DAC" w:rsidP="00944B6E">
      <w:pPr>
        <w:tabs>
          <w:tab w:val="left" w:pos="369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trvale bytem:</w:t>
      </w:r>
    </w:p>
    <w:p w:rsidR="00C10DAC" w:rsidRDefault="00C10DAC" w:rsidP="00944B6E">
      <w:pPr>
        <w:tabs>
          <w:tab w:val="left" w:pos="3690"/>
        </w:tabs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(dále jen „nezaopatřená osoba</w:t>
      </w:r>
      <w:r w:rsidR="00143B5F">
        <w:rPr>
          <w:rFonts w:ascii="Arial" w:hAnsi="Arial" w:cs="Arial"/>
          <w:b/>
          <w:i/>
          <w:sz w:val="24"/>
          <w:szCs w:val="24"/>
        </w:rPr>
        <w:t>“</w:t>
      </w:r>
      <w:r>
        <w:rPr>
          <w:rFonts w:ascii="Arial" w:hAnsi="Arial" w:cs="Arial"/>
          <w:b/>
          <w:i/>
          <w:sz w:val="24"/>
          <w:szCs w:val="24"/>
        </w:rPr>
        <w:t>)</w:t>
      </w:r>
    </w:p>
    <w:p w:rsidR="00C10DAC" w:rsidRDefault="00C10DAC" w:rsidP="00944B6E">
      <w:pPr>
        <w:tabs>
          <w:tab w:val="left" w:pos="3690"/>
        </w:tabs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:rsidR="004C3C07" w:rsidRDefault="004C3C07" w:rsidP="00C10DAC">
      <w:pPr>
        <w:tabs>
          <w:tab w:val="left" w:pos="3690"/>
        </w:tabs>
        <w:contextualSpacing/>
        <w:rPr>
          <w:rFonts w:ascii="Arial" w:hAnsi="Arial" w:cs="Arial"/>
          <w:sz w:val="24"/>
          <w:szCs w:val="24"/>
        </w:rPr>
      </w:pPr>
    </w:p>
    <w:p w:rsidR="00C10DAC" w:rsidRPr="00C10DAC" w:rsidRDefault="00C10DAC" w:rsidP="00C10DAC">
      <w:pPr>
        <w:tabs>
          <w:tab w:val="left" w:pos="3690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uzavírají na základě žádosti nezaopatřené osoby tuto smlouvu:</w:t>
      </w:r>
    </w:p>
    <w:p w:rsidR="00C10DAC" w:rsidRDefault="00C10DAC" w:rsidP="00944B6E">
      <w:pPr>
        <w:tabs>
          <w:tab w:val="left" w:pos="3690"/>
        </w:tabs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:rsidR="004C3C07" w:rsidRDefault="004C3C07" w:rsidP="00944B6E">
      <w:pPr>
        <w:tabs>
          <w:tab w:val="left" w:pos="3690"/>
        </w:tabs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:rsidR="00C10DAC" w:rsidRDefault="00C10DAC" w:rsidP="00C10DAC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I.</w:t>
      </w:r>
    </w:p>
    <w:p w:rsidR="00C10DAC" w:rsidRDefault="00C10DAC" w:rsidP="00C10DAC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Obecná ustanovení</w:t>
      </w:r>
    </w:p>
    <w:p w:rsidR="00C10DAC" w:rsidRPr="00C10DAC" w:rsidRDefault="00C10DAC" w:rsidP="00C10DA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10DAC">
        <w:rPr>
          <w:rFonts w:ascii="Arial" w:hAnsi="Arial" w:cs="Arial"/>
          <w:sz w:val="24"/>
          <w:szCs w:val="24"/>
        </w:rPr>
        <w:t>Nezaopatřená osoba prohlašuje, že se připravuje na budoucí povolání.</w:t>
      </w:r>
    </w:p>
    <w:p w:rsidR="00C10DAC" w:rsidRDefault="00C10DAC" w:rsidP="00C10DA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Ústavní výchova nezaopatřené osoby byla ukončena dne:</w:t>
      </w:r>
    </w:p>
    <w:p w:rsidR="00C10DAC" w:rsidRDefault="00C10DAC" w:rsidP="00C10DA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se dohodly na poskytování plného přímého zaopatření po ukončení výkonu ústavní výchovy nezaopatřené osoby v dále uvedeném rozsahu do doby ukončení přípravy na budoucí p</w:t>
      </w:r>
      <w:r w:rsidR="00A4209C">
        <w:rPr>
          <w:rFonts w:ascii="Arial" w:hAnsi="Arial" w:cs="Arial"/>
          <w:sz w:val="24"/>
          <w:szCs w:val="24"/>
        </w:rPr>
        <w:t>ovolání, nejdéle však do 26 let nezaopatřené osoby.</w:t>
      </w:r>
    </w:p>
    <w:p w:rsidR="00A4209C" w:rsidRDefault="00A4209C" w:rsidP="00A4209C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C10DAC" w:rsidRDefault="00C10DAC" w:rsidP="00C10DAC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II.</w:t>
      </w:r>
    </w:p>
    <w:p w:rsidR="00C10DAC" w:rsidRDefault="00C10DAC" w:rsidP="00C10DAC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Povinnosti zařízení</w:t>
      </w:r>
    </w:p>
    <w:p w:rsidR="00C10DAC" w:rsidRDefault="00C10DAC" w:rsidP="00C10DA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Zařízení poskytuje nezaopatřené osobě plné přímé zaopatření v rozsahu uvedeném v § 2, odst. 7</w:t>
      </w:r>
      <w:r w:rsidR="002E7232">
        <w:rPr>
          <w:rFonts w:ascii="Arial" w:hAnsi="Arial" w:cs="Arial"/>
          <w:sz w:val="24"/>
          <w:szCs w:val="24"/>
        </w:rPr>
        <w:t xml:space="preserve"> zákona 109/2002 </w:t>
      </w:r>
      <w:proofErr w:type="spellStart"/>
      <w:r w:rsidR="002E7232">
        <w:rPr>
          <w:rFonts w:ascii="Arial" w:hAnsi="Arial" w:cs="Arial"/>
          <w:sz w:val="24"/>
          <w:szCs w:val="24"/>
        </w:rPr>
        <w:t>Sb</w:t>
      </w:r>
      <w:proofErr w:type="spellEnd"/>
      <w:r w:rsidR="00143B5F">
        <w:rPr>
          <w:rFonts w:ascii="Arial" w:hAnsi="Arial" w:cs="Arial"/>
          <w:sz w:val="24"/>
          <w:szCs w:val="24"/>
        </w:rPr>
        <w:t>:</w:t>
      </w:r>
    </w:p>
    <w:p w:rsidR="00143B5F" w:rsidRDefault="00143B5F" w:rsidP="00143B5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stravování, ubytování a ošacení,</w:t>
      </w:r>
    </w:p>
    <w:p w:rsidR="00143B5F" w:rsidRDefault="00143B5F" w:rsidP="00143B5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učební potřeby a pomůcky,</w:t>
      </w:r>
    </w:p>
    <w:p w:rsidR="00143B5F" w:rsidRDefault="00143B5F" w:rsidP="00143B5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úhrada nezbytně nutných nákladů na vzdělávání,</w:t>
      </w:r>
    </w:p>
    <w:p w:rsidR="00143B5F" w:rsidRDefault="00143B5F" w:rsidP="00143B5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úhrada nákladů na zdravotní služby, léčiva a zdravotnické prostředky, které nejsou hrazeny ze zdravotního pojištění,</w:t>
      </w:r>
    </w:p>
    <w:p w:rsidR="00143B5F" w:rsidRDefault="00143B5F" w:rsidP="00143B5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kapesné, osobní dary a věcná pomoc při odchodu nezaopatřené osoby ze zařízení,</w:t>
      </w:r>
    </w:p>
    <w:p w:rsidR="00143B5F" w:rsidRDefault="00143B5F" w:rsidP="00143B5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úhrada nákladů na dopravu do sídla školy.</w:t>
      </w:r>
    </w:p>
    <w:p w:rsidR="00143B5F" w:rsidRDefault="00143B5F" w:rsidP="00143B5F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</w:p>
    <w:p w:rsidR="00143B5F" w:rsidRDefault="00143B5F" w:rsidP="00143B5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Nezaopatřené osobě se může dále hradit:</w:t>
      </w:r>
    </w:p>
    <w:p w:rsidR="00143B5F" w:rsidRDefault="00143B5F" w:rsidP="00143B5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potřeby pro využití volného času a rekreaci,</w:t>
      </w:r>
    </w:p>
    <w:p w:rsidR="00143B5F" w:rsidRDefault="00143B5F" w:rsidP="00143B5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náklady na kulturní, uměleckou, sportovní a oddechovou činnost,</w:t>
      </w:r>
    </w:p>
    <w:p w:rsidR="00143B5F" w:rsidRDefault="00143B5F" w:rsidP="00143B5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náklady na soutěžní akce, rekreace</w:t>
      </w:r>
    </w:p>
    <w:p w:rsidR="00143B5F" w:rsidRDefault="00143B5F" w:rsidP="00143B5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náklady na dopravu k osobám blízkým.</w:t>
      </w:r>
    </w:p>
    <w:p w:rsidR="00DD0EBB" w:rsidRPr="00DD0EBB" w:rsidRDefault="00DD0EBB" w:rsidP="00DD0EB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Nezaopatřená osoba může být zařízením odměněna analogicky s </w:t>
      </w:r>
      <w:r w:rsidR="008877A8">
        <w:rPr>
          <w:rFonts w:ascii="Arial" w:hAnsi="Arial" w:cs="Arial"/>
          <w:sz w:val="24"/>
          <w:szCs w:val="24"/>
        </w:rPr>
        <w:t xml:space="preserve">§ 21, </w:t>
      </w:r>
      <w:proofErr w:type="gramStart"/>
      <w:r w:rsidR="008877A8">
        <w:rPr>
          <w:rFonts w:ascii="Arial" w:hAnsi="Arial" w:cs="Arial"/>
          <w:sz w:val="24"/>
          <w:szCs w:val="24"/>
        </w:rPr>
        <w:t>odst.3, písm.</w:t>
      </w:r>
      <w:proofErr w:type="gramEnd"/>
      <w:r w:rsidR="008877A8">
        <w:rPr>
          <w:rFonts w:ascii="Arial" w:hAnsi="Arial" w:cs="Arial"/>
          <w:sz w:val="24"/>
          <w:szCs w:val="24"/>
        </w:rPr>
        <w:t xml:space="preserve"> b) a d), Zákona 109/2002 Sb.</w:t>
      </w:r>
    </w:p>
    <w:p w:rsidR="00143B5F" w:rsidRDefault="00143B5F" w:rsidP="00143B5F">
      <w:pPr>
        <w:contextualSpacing/>
        <w:rPr>
          <w:rFonts w:ascii="Arial" w:hAnsi="Arial" w:cs="Arial"/>
          <w:b/>
          <w:sz w:val="24"/>
          <w:szCs w:val="24"/>
        </w:rPr>
      </w:pPr>
    </w:p>
    <w:p w:rsidR="00143B5F" w:rsidRDefault="00143B5F" w:rsidP="00143B5F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III.</w:t>
      </w:r>
    </w:p>
    <w:p w:rsidR="00143B5F" w:rsidRDefault="00143B5F" w:rsidP="00143B5F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Povinnosti nezaopatřené osoby</w:t>
      </w:r>
    </w:p>
    <w:p w:rsidR="00143B5F" w:rsidRDefault="00143B5F" w:rsidP="00143B5F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Nezaopatřená osoba má povinnost:</w:t>
      </w:r>
    </w:p>
    <w:p w:rsidR="00143B5F" w:rsidRDefault="0025207B" w:rsidP="00143B5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43B5F">
        <w:rPr>
          <w:rFonts w:ascii="Arial" w:hAnsi="Arial" w:cs="Arial"/>
          <w:sz w:val="24"/>
          <w:szCs w:val="24"/>
        </w:rPr>
        <w:t>održovat stanovený pořádek a kázeň, plnit pokyny a příkazy zaměstnanců zařízení, šetrně zacházet se svěřenými věcmi, nepoškozovat cizí maje</w:t>
      </w:r>
      <w:r>
        <w:rPr>
          <w:rFonts w:ascii="Arial" w:hAnsi="Arial" w:cs="Arial"/>
          <w:sz w:val="24"/>
          <w:szCs w:val="24"/>
        </w:rPr>
        <w:t>tek, dodržovat zásady slušného jednání s osobami, s nimiž přichází do styku, v prostorách zařízení a v osobních věcech udržovat pořádek a čistotu,</w:t>
      </w:r>
    </w:p>
    <w:p w:rsidR="0025207B" w:rsidRDefault="0025207B" w:rsidP="00143B5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dodržovat předpisy a pokyny k ochraně bezpečnosti a zdraví, s nimiž byla řádně seznámena,</w:t>
      </w:r>
    </w:p>
    <w:p w:rsidR="0025207B" w:rsidRDefault="0025207B" w:rsidP="00143B5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poskytnout na výzvu ředitele doklady o svých příjmech,</w:t>
      </w:r>
    </w:p>
    <w:p w:rsidR="0025207B" w:rsidRDefault="0025207B" w:rsidP="00143B5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předat do úschovy na výzvu ředitele předměty ohrožující výchovu, zdraví a bezpečnost, přičemž doba úschovy těchto předmětů nesmí přesáhnout dobu pobytu nezaopatřené osoby v zařízení a při jeho ukončení musí být tyto předměty nezaopatřené osobě vydány,</w:t>
      </w:r>
    </w:p>
    <w:p w:rsidR="0025207B" w:rsidRDefault="0025207B" w:rsidP="00143B5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podrobit se na výzvu ředitele vyšetření, zda není ovlivněna alkoholem nebo jinou návykovou látkou. Je-li pro vyšetření třeba odebrat krev, je zaopatřená osoba povinna strpět, aby jí lékař nebo odborný zdravotnický pracovník odebral krev, pokud to není spojeno s nebezpečím pro její zdraví.</w:t>
      </w:r>
    </w:p>
    <w:p w:rsidR="0025207B" w:rsidRDefault="0025207B" w:rsidP="0025207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Nezaopatřená osoba musí dodržovat vnitřní řád zařízení v rozsahu, ve kterém upravuje práva a povinnosti nezaopatřených osob.</w:t>
      </w:r>
      <w:r w:rsidR="00DA002B">
        <w:rPr>
          <w:rFonts w:ascii="Arial" w:hAnsi="Arial" w:cs="Arial"/>
          <w:sz w:val="24"/>
          <w:szCs w:val="24"/>
        </w:rPr>
        <w:t xml:space="preserve"> Dodržováním vnitřního řádu  se </w:t>
      </w:r>
      <w:proofErr w:type="spellStart"/>
      <w:proofErr w:type="gramStart"/>
      <w:r w:rsidR="00DA002B">
        <w:rPr>
          <w:rFonts w:ascii="Arial" w:hAnsi="Arial" w:cs="Arial"/>
          <w:sz w:val="24"/>
          <w:szCs w:val="24"/>
        </w:rPr>
        <w:t>m.j</w:t>
      </w:r>
      <w:proofErr w:type="spellEnd"/>
      <w:r w:rsidR="00DA002B">
        <w:rPr>
          <w:rFonts w:ascii="Arial" w:hAnsi="Arial" w:cs="Arial"/>
          <w:sz w:val="24"/>
          <w:szCs w:val="24"/>
        </w:rPr>
        <w:t>. rozumí</w:t>
      </w:r>
      <w:proofErr w:type="gramEnd"/>
      <w:r w:rsidR="00DA002B">
        <w:rPr>
          <w:rFonts w:ascii="Arial" w:hAnsi="Arial" w:cs="Arial"/>
          <w:sz w:val="24"/>
          <w:szCs w:val="24"/>
        </w:rPr>
        <w:t>:</w:t>
      </w:r>
    </w:p>
    <w:p w:rsidR="00DA002B" w:rsidRDefault="00DA002B" w:rsidP="00DA002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zákaz užívání alkoholu v prostorách zařízení, stejně tak vnášení alkoholických nápojů do zařízení a zákaz příchodu do DD pod viditelným vlivem alkoholu a jiných psychotropních látek, zákaz kouření v budově za</w:t>
      </w:r>
      <w:r w:rsidR="00691183">
        <w:rPr>
          <w:rFonts w:ascii="Arial" w:hAnsi="Arial" w:cs="Arial"/>
          <w:sz w:val="24"/>
          <w:szCs w:val="24"/>
        </w:rPr>
        <w:t>řízení a na jeho pozemcích vč. elektronických cigaret,</w:t>
      </w:r>
    </w:p>
    <w:p w:rsidR="00DA002B" w:rsidRDefault="00DA002B" w:rsidP="00DA002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zákaz prokazatelných projevů a propagace rasové nesnášenlivosti</w:t>
      </w:r>
      <w:r w:rsidR="008474CC">
        <w:rPr>
          <w:rFonts w:ascii="Arial" w:hAnsi="Arial" w:cs="Arial"/>
          <w:sz w:val="24"/>
          <w:szCs w:val="24"/>
        </w:rPr>
        <w:t xml:space="preserve">, hrubého násilí, zákaz aplikace drog vč. marihuany a všech forem agresivity vůči dětem a pracovníkům zařízení, </w:t>
      </w:r>
    </w:p>
    <w:p w:rsidR="008474CC" w:rsidRDefault="008474CC" w:rsidP="00DA002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zákaz úmyslného poškozování a poškozování majetku zařízení vč. jeho zcizení,</w:t>
      </w:r>
    </w:p>
    <w:p w:rsidR="008474CC" w:rsidRDefault="008474CC" w:rsidP="00DA002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oznamovat vždy odchody a příchody včetně místa při pobytu mimo zařízení delším než jeden den,</w:t>
      </w:r>
      <w:r w:rsidR="00691183">
        <w:rPr>
          <w:rFonts w:ascii="Arial" w:hAnsi="Arial" w:cs="Arial"/>
          <w:sz w:val="24"/>
          <w:szCs w:val="24"/>
        </w:rPr>
        <w:t xml:space="preserve"> v případě samostatného bydlení v DD hlásit předem </w:t>
      </w:r>
      <w:r w:rsidR="00691183">
        <w:rPr>
          <w:rFonts w:ascii="Arial" w:hAnsi="Arial" w:cs="Arial"/>
          <w:sz w:val="24"/>
          <w:szCs w:val="24"/>
        </w:rPr>
        <w:lastRenderedPageBreak/>
        <w:t>veškeré návštěvy v DD, v žádném případě nedělat kopie klíčů DD bez vědomí DD.</w:t>
      </w:r>
    </w:p>
    <w:p w:rsidR="008474CC" w:rsidRDefault="008474CC" w:rsidP="00DA002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řádně plnit školní docházku bez neomluvených absencí a s prokazatelnou snahou o co nejlepší studijní výsledky s řádnou přípravou na vyučování,</w:t>
      </w:r>
    </w:p>
    <w:p w:rsidR="008474CC" w:rsidRDefault="008474CC" w:rsidP="00DA002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oznamovat předem návštěvy lékařů, absence ve škole a na praxi, dodržovat </w:t>
      </w:r>
      <w:r w:rsidR="00C636B0">
        <w:rPr>
          <w:rFonts w:ascii="Arial" w:hAnsi="Arial" w:cs="Arial"/>
          <w:sz w:val="24"/>
          <w:szCs w:val="24"/>
        </w:rPr>
        <w:t>léčebný režim stanovaný lékařem.</w:t>
      </w:r>
    </w:p>
    <w:p w:rsidR="008474CC" w:rsidRDefault="008474CC" w:rsidP="00DA002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Úmyslná trestná činnost je neslučitelná s prodlouženým pobytem nezaopatřené osoby v zařízení.</w:t>
      </w:r>
    </w:p>
    <w:p w:rsidR="008474CC" w:rsidRPr="00D91A2E" w:rsidRDefault="008474CC" w:rsidP="00D91A2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91A2E">
        <w:rPr>
          <w:rFonts w:ascii="Arial" w:hAnsi="Arial" w:cs="Arial"/>
          <w:sz w:val="24"/>
          <w:szCs w:val="24"/>
        </w:rPr>
        <w:t>Nezaopatřená osoba nebude nijak bránit zařízení získávat ve školách informace o průběhu jejího studia.</w:t>
      </w:r>
      <w:r w:rsidR="00D91A2E" w:rsidRPr="00D91A2E">
        <w:rPr>
          <w:rFonts w:ascii="Arial" w:hAnsi="Arial" w:cs="Arial"/>
          <w:sz w:val="24"/>
          <w:szCs w:val="24"/>
        </w:rPr>
        <w:t xml:space="preserve"> Nezaopatřená osoba má povinnost každé pololetí doložit potvrzení o studiu. Nezaopatřen</w:t>
      </w:r>
      <w:r w:rsidR="002E7232">
        <w:rPr>
          <w:rFonts w:ascii="Arial" w:hAnsi="Arial" w:cs="Arial"/>
          <w:sz w:val="24"/>
          <w:szCs w:val="24"/>
        </w:rPr>
        <w:t>á</w:t>
      </w:r>
      <w:r w:rsidR="00D91A2E" w:rsidRPr="00D91A2E">
        <w:rPr>
          <w:rFonts w:ascii="Arial" w:hAnsi="Arial" w:cs="Arial"/>
          <w:sz w:val="24"/>
          <w:szCs w:val="24"/>
        </w:rPr>
        <w:t xml:space="preserve"> osob</w:t>
      </w:r>
      <w:r w:rsidR="002E7232">
        <w:rPr>
          <w:rFonts w:ascii="Arial" w:hAnsi="Arial" w:cs="Arial"/>
          <w:sz w:val="24"/>
          <w:szCs w:val="24"/>
        </w:rPr>
        <w:t>a</w:t>
      </w:r>
      <w:r w:rsidR="00D91A2E" w:rsidRPr="00D91A2E">
        <w:rPr>
          <w:rFonts w:ascii="Arial" w:hAnsi="Arial" w:cs="Arial"/>
          <w:sz w:val="24"/>
          <w:szCs w:val="24"/>
        </w:rPr>
        <w:t xml:space="preserve"> studující na VŠ</w:t>
      </w:r>
      <w:r w:rsidR="00D91A2E">
        <w:rPr>
          <w:rFonts w:ascii="Arial" w:hAnsi="Arial" w:cs="Arial"/>
          <w:sz w:val="24"/>
          <w:szCs w:val="24"/>
        </w:rPr>
        <w:t>,</w:t>
      </w:r>
      <w:r w:rsidR="00D91A2E" w:rsidRPr="00D91A2E">
        <w:rPr>
          <w:rFonts w:ascii="Arial" w:hAnsi="Arial" w:cs="Arial"/>
          <w:sz w:val="24"/>
          <w:szCs w:val="24"/>
        </w:rPr>
        <w:t xml:space="preserve"> VOŠ </w:t>
      </w:r>
      <w:r w:rsidR="00D91A2E">
        <w:rPr>
          <w:rFonts w:ascii="Arial" w:hAnsi="Arial" w:cs="Arial"/>
          <w:sz w:val="24"/>
          <w:szCs w:val="24"/>
        </w:rPr>
        <w:t xml:space="preserve">a v jazykových pomaturitních kurzech </w:t>
      </w:r>
      <w:r w:rsidR="00D91A2E" w:rsidRPr="00D91A2E">
        <w:rPr>
          <w:rFonts w:ascii="Arial" w:hAnsi="Arial" w:cs="Arial"/>
          <w:sz w:val="24"/>
          <w:szCs w:val="24"/>
        </w:rPr>
        <w:t>m</w:t>
      </w:r>
      <w:r w:rsidR="002E7232">
        <w:rPr>
          <w:rFonts w:ascii="Arial" w:hAnsi="Arial" w:cs="Arial"/>
          <w:sz w:val="24"/>
          <w:szCs w:val="24"/>
        </w:rPr>
        <w:t>á</w:t>
      </w:r>
      <w:r w:rsidR="00D91A2E" w:rsidRPr="00D91A2E">
        <w:rPr>
          <w:rFonts w:ascii="Arial" w:hAnsi="Arial" w:cs="Arial"/>
          <w:sz w:val="24"/>
          <w:szCs w:val="24"/>
        </w:rPr>
        <w:t xml:space="preserve"> povinnost předložit po ukončení semestru přehled o studijních výsledcích.</w:t>
      </w:r>
    </w:p>
    <w:p w:rsidR="006C4410" w:rsidRDefault="009819FB" w:rsidP="0025207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Pokud má nezaopatřená osoba vlastní pravidelné příjmy</w:t>
      </w:r>
      <w:r w:rsidR="008513E6">
        <w:rPr>
          <w:rFonts w:ascii="Arial" w:hAnsi="Arial" w:cs="Arial"/>
          <w:sz w:val="24"/>
          <w:szCs w:val="24"/>
        </w:rPr>
        <w:t xml:space="preserve"> (netýká se brigád)</w:t>
      </w:r>
      <w:r>
        <w:rPr>
          <w:rFonts w:ascii="Arial" w:hAnsi="Arial" w:cs="Arial"/>
          <w:sz w:val="24"/>
          <w:szCs w:val="24"/>
        </w:rPr>
        <w:t>, podílí se na hrazení příspěvku na úhradu péče způsobem podle zákona č. 109/2002 Sb.</w:t>
      </w:r>
      <w:r w:rsidR="00DA002B">
        <w:rPr>
          <w:rFonts w:ascii="Arial" w:hAnsi="Arial" w:cs="Arial"/>
          <w:sz w:val="24"/>
          <w:szCs w:val="24"/>
        </w:rPr>
        <w:t>, § 29.</w:t>
      </w:r>
    </w:p>
    <w:p w:rsidR="00DA002B" w:rsidRDefault="00DA002B" w:rsidP="0025207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Nezaopatřená osoba souhlasí, že případné dávky státní sociální podpory (např. přídavek na dítě) bud</w:t>
      </w:r>
      <w:r w:rsidR="00C10D32">
        <w:rPr>
          <w:rFonts w:ascii="Arial" w:hAnsi="Arial" w:cs="Arial"/>
          <w:sz w:val="24"/>
          <w:szCs w:val="24"/>
        </w:rPr>
        <w:t xml:space="preserve">ou </w:t>
      </w:r>
      <w:r>
        <w:rPr>
          <w:rFonts w:ascii="Arial" w:hAnsi="Arial" w:cs="Arial"/>
          <w:sz w:val="24"/>
          <w:szCs w:val="24"/>
        </w:rPr>
        <w:t>poukazován</w:t>
      </w:r>
      <w:r w:rsidR="00C10D32">
        <w:rPr>
          <w:rFonts w:ascii="Arial" w:hAnsi="Arial" w:cs="Arial"/>
          <w:sz w:val="24"/>
          <w:szCs w:val="24"/>
        </w:rPr>
        <w:t>y</w:t>
      </w:r>
      <w:r w:rsidR="008513E6">
        <w:rPr>
          <w:rFonts w:ascii="Arial" w:hAnsi="Arial" w:cs="Arial"/>
          <w:sz w:val="24"/>
          <w:szCs w:val="24"/>
        </w:rPr>
        <w:t xml:space="preserve"> zařízení a budou použity ve prospěch nezaopatřené osoby.</w:t>
      </w:r>
    </w:p>
    <w:p w:rsidR="00DA002B" w:rsidRDefault="00D91A2E" w:rsidP="0025207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Nezaopatřená osoba má povinnost oznámit bezodkladně veškeré změny týkající se její přípravy na budoucí povolání, včetně skutečnosti, že ukončí nebo přeruší přípravu na budoucí povolání.</w:t>
      </w:r>
    </w:p>
    <w:p w:rsidR="00974F65" w:rsidRDefault="00974F65" w:rsidP="0025207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ukončení studia svou vinou či ze své vůle, má nezaopatřená osoba povinnost uhradit zařízení finanční sankce ze strany školy, pakliže tyto sankce byly předem smluvně ošetřeny. Nezaopatřená osoba souhlasí s tím, že ke krytí sankcí může zařízení použít její úspory.</w:t>
      </w:r>
    </w:p>
    <w:p w:rsidR="00D91A2E" w:rsidRDefault="00D91A2E" w:rsidP="0025207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Výčtem povinností v odst. 1-</w:t>
      </w:r>
      <w:r w:rsidR="00974F6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nejsou dotčeny povinnosti vyplývající z obecně platných právních předpisů.</w:t>
      </w:r>
    </w:p>
    <w:p w:rsidR="00357CAD" w:rsidRDefault="00357CAD" w:rsidP="00D91A2E">
      <w:pPr>
        <w:contextualSpacing/>
        <w:rPr>
          <w:rFonts w:ascii="Arial" w:hAnsi="Arial" w:cs="Arial"/>
          <w:b/>
          <w:sz w:val="24"/>
          <w:szCs w:val="24"/>
        </w:rPr>
      </w:pPr>
    </w:p>
    <w:p w:rsidR="00D91A2E" w:rsidRDefault="00D91A2E" w:rsidP="00D91A2E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IV.</w:t>
      </w:r>
    </w:p>
    <w:p w:rsidR="00D91A2E" w:rsidRDefault="00D91A2E" w:rsidP="00D91A2E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Práva nezaopatřených osob</w:t>
      </w:r>
    </w:p>
    <w:p w:rsidR="00D91A2E" w:rsidRDefault="00D91A2E" w:rsidP="00D91A2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Nezaopatřené osoby mají všechn</w:t>
      </w:r>
      <w:r w:rsidR="000C14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práva zletilého občana ČR, zejména pak:</w:t>
      </w:r>
    </w:p>
    <w:p w:rsidR="00D91A2E" w:rsidRDefault="00FC4B79" w:rsidP="00D91A2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D91A2E">
        <w:rPr>
          <w:rFonts w:ascii="Arial" w:hAnsi="Arial" w:cs="Arial"/>
          <w:sz w:val="24"/>
          <w:szCs w:val="24"/>
        </w:rPr>
        <w:t xml:space="preserve">rušit či vypovědět </w:t>
      </w:r>
      <w:r>
        <w:rPr>
          <w:rFonts w:ascii="Arial" w:hAnsi="Arial" w:cs="Arial"/>
          <w:sz w:val="24"/>
          <w:szCs w:val="24"/>
        </w:rPr>
        <w:t>smlouvu bez udání důvodu a bez výpovědní lhůty,</w:t>
      </w:r>
    </w:p>
    <w:p w:rsidR="00FC4B79" w:rsidRDefault="00FC4B79" w:rsidP="00D91A2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organizovat svůj volný čas, zejm. o sobotách, nedělích, svátcích a prázdninách,</w:t>
      </w:r>
    </w:p>
    <w:p w:rsidR="00FC4B79" w:rsidRDefault="00FC4B79" w:rsidP="00D91A2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rozhodovat o nakládání se svými příjmy.</w:t>
      </w:r>
      <w:r w:rsidR="000C1445">
        <w:rPr>
          <w:rFonts w:ascii="Arial" w:hAnsi="Arial" w:cs="Arial"/>
          <w:sz w:val="24"/>
          <w:szCs w:val="24"/>
        </w:rPr>
        <w:t xml:space="preserve"> Nezaopatřená osoba bere na vědomí, že případné úspory ze SD, pojistného apod. mají sloužit zejména ke vstupu do samostatného života po opuštění zařízení. Proto se očekává, že z naspořených prostředků bude nezaopatřená osoba pořizovat pouze věci a služby související se zvyšováním kvalifikace, výbavou či nadstandardní lékařskou péčí.</w:t>
      </w:r>
    </w:p>
    <w:p w:rsidR="008877A8" w:rsidRPr="008877A8" w:rsidRDefault="008877A8" w:rsidP="008877A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Nezaopatřené osobě může DD se souhlasem ředitele v odůvodněných případech vyplatit místo stravy stravovací jednotku v Kč za neodebranou stravu. Podmínkou je bezproblémové chování nezaopatřené osoby</w:t>
      </w:r>
      <w:r w:rsidR="00C636B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nahlášení požadavku na výplatu předem min. 24 hodin předem. Výplata stravovací jednotky není nároková.</w:t>
      </w:r>
    </w:p>
    <w:p w:rsidR="000C1445" w:rsidRDefault="000C1445" w:rsidP="000C1445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Článek V.</w:t>
      </w:r>
    </w:p>
    <w:p w:rsidR="000C1445" w:rsidRDefault="001743BF" w:rsidP="000C1445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Spory ze smlouvy</w:t>
      </w:r>
    </w:p>
    <w:p w:rsidR="001743BF" w:rsidRDefault="001743BF" w:rsidP="000C1445">
      <w:pPr>
        <w:contextualSpacing/>
        <w:rPr>
          <w:rFonts w:ascii="Arial" w:hAnsi="Arial" w:cs="Arial"/>
          <w:b/>
          <w:sz w:val="24"/>
          <w:szCs w:val="24"/>
        </w:rPr>
      </w:pPr>
    </w:p>
    <w:p w:rsidR="001743BF" w:rsidRDefault="001743BF" w:rsidP="001743BF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Spory z této smlouvy rozhoduje</w:t>
      </w:r>
      <w:r w:rsidR="00DD0EBB">
        <w:rPr>
          <w:rFonts w:ascii="Arial" w:hAnsi="Arial" w:cs="Arial"/>
          <w:sz w:val="24"/>
          <w:szCs w:val="24"/>
        </w:rPr>
        <w:t xml:space="preserve"> Krajský úřad Olomouckého kraje jako nadřízený správní orgán.</w:t>
      </w:r>
    </w:p>
    <w:p w:rsidR="001743BF" w:rsidRDefault="001743BF" w:rsidP="001743BF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1743BF" w:rsidRPr="001743BF" w:rsidRDefault="001743BF" w:rsidP="001743BF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VI.</w:t>
      </w:r>
    </w:p>
    <w:p w:rsidR="00143B5F" w:rsidRDefault="001743BF" w:rsidP="00143B5F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Ukončení smlouvy</w:t>
      </w:r>
    </w:p>
    <w:p w:rsidR="001743BF" w:rsidRPr="00E53235" w:rsidRDefault="001743BF" w:rsidP="00E5323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E53235">
        <w:rPr>
          <w:rFonts w:ascii="Arial" w:hAnsi="Arial" w:cs="Arial"/>
          <w:sz w:val="24"/>
          <w:szCs w:val="24"/>
        </w:rPr>
        <w:t>Smlouva se uzavírá na dobu určitou. Platnost smlouvy končí dnem následujícím po dni, kdy nezaopatřená osoba ukončila přípravu na budoucí povolání, nejpozději však dnem, kdy nezaopatřená osoba dovršila 26 let.</w:t>
      </w:r>
    </w:p>
    <w:p w:rsidR="001743BF" w:rsidRDefault="001743BF" w:rsidP="001743BF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Nezaopatřená osoba může vypovědět smlouvu písemně bez udání důvodu i bez výpovědní dob</w:t>
      </w:r>
      <w:r w:rsidR="00E53235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.</w:t>
      </w:r>
    </w:p>
    <w:p w:rsidR="001743BF" w:rsidRDefault="001743BF" w:rsidP="001743BF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Zařízení může vypovědět smlouvu z důvodů, kdy nezaopatřená osoba zvlášť závažným způsobem poruší smlouvu. Výpovědní doba činí 1 měsíc a počíná běžet prvním dnem měsíce následujícího po měsíci, ve kterém byla výpověď doručena nezaopatřené osobě.</w:t>
      </w:r>
    </w:p>
    <w:p w:rsidR="00DD0EBB" w:rsidRDefault="00DD0EBB" w:rsidP="001743BF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Smlouva může být ukončena i dohodou smluvních stran.</w:t>
      </w:r>
    </w:p>
    <w:p w:rsidR="00974F65" w:rsidRPr="001743BF" w:rsidRDefault="00974F65" w:rsidP="001743BF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 méně závažných porušeních smlouvy ze strany nezaopatřené osoby bude tato písemně u</w:t>
      </w:r>
      <w:r w:rsidR="00357CAD">
        <w:rPr>
          <w:rFonts w:ascii="Arial" w:hAnsi="Arial" w:cs="Arial"/>
          <w:sz w:val="24"/>
          <w:szCs w:val="24"/>
        </w:rPr>
        <w:t>pozorněna ředitelem zařízení, že další porušování smlouvy bude mít za následek výpověď smlouvy ze strany zařízení.</w:t>
      </w:r>
    </w:p>
    <w:p w:rsidR="001743BF" w:rsidRDefault="001743BF" w:rsidP="00143B5F">
      <w:pPr>
        <w:contextualSpacing/>
        <w:rPr>
          <w:rFonts w:ascii="Arial" w:hAnsi="Arial" w:cs="Arial"/>
          <w:sz w:val="24"/>
          <w:szCs w:val="24"/>
        </w:rPr>
      </w:pPr>
    </w:p>
    <w:p w:rsidR="002E7232" w:rsidRDefault="002E7232" w:rsidP="00143B5F">
      <w:pPr>
        <w:contextualSpacing/>
        <w:rPr>
          <w:rFonts w:ascii="Arial" w:hAnsi="Arial" w:cs="Arial"/>
          <w:sz w:val="24"/>
          <w:szCs w:val="24"/>
        </w:rPr>
      </w:pPr>
    </w:p>
    <w:p w:rsidR="002E7232" w:rsidRPr="002E7232" w:rsidRDefault="002E7232" w:rsidP="00143B5F">
      <w:pPr>
        <w:contextualSpacing/>
        <w:rPr>
          <w:rFonts w:ascii="Arial" w:hAnsi="Arial" w:cs="Arial"/>
          <w:b/>
          <w:sz w:val="24"/>
          <w:szCs w:val="24"/>
        </w:rPr>
      </w:pPr>
      <w:r w:rsidRPr="002E7232">
        <w:rPr>
          <w:rFonts w:ascii="Arial" w:hAnsi="Arial" w:cs="Arial"/>
          <w:b/>
          <w:sz w:val="24"/>
          <w:szCs w:val="24"/>
        </w:rPr>
        <w:t>Článek VII.</w:t>
      </w:r>
    </w:p>
    <w:p w:rsidR="002E7232" w:rsidRPr="002E7232" w:rsidRDefault="002E7232" w:rsidP="00143B5F">
      <w:pPr>
        <w:contextualSpacing/>
        <w:rPr>
          <w:rFonts w:ascii="Arial" w:hAnsi="Arial" w:cs="Arial"/>
          <w:b/>
          <w:sz w:val="24"/>
          <w:szCs w:val="24"/>
        </w:rPr>
      </w:pPr>
      <w:r w:rsidRPr="002E7232">
        <w:rPr>
          <w:rFonts w:ascii="Arial" w:hAnsi="Arial" w:cs="Arial"/>
          <w:b/>
          <w:sz w:val="24"/>
          <w:szCs w:val="24"/>
        </w:rPr>
        <w:t>Zvláštní ujednání</w:t>
      </w:r>
      <w:r>
        <w:rPr>
          <w:rFonts w:ascii="Arial" w:hAnsi="Arial" w:cs="Arial"/>
          <w:b/>
          <w:sz w:val="24"/>
          <w:szCs w:val="24"/>
        </w:rPr>
        <w:t xml:space="preserve"> a účinnost</w:t>
      </w:r>
    </w:p>
    <w:p w:rsidR="002E7232" w:rsidRDefault="002E7232" w:rsidP="002E7232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E7232">
        <w:rPr>
          <w:rFonts w:ascii="Arial" w:hAnsi="Arial" w:cs="Arial"/>
          <w:sz w:val="24"/>
          <w:szCs w:val="24"/>
        </w:rPr>
        <w:t xml:space="preserve">Tato smlouva je vyhotovena ve dvou výtiscích s platností originálu. Každá ze smluvních stran obdrží jeden výtisk. </w:t>
      </w:r>
    </w:p>
    <w:p w:rsidR="002E7232" w:rsidRPr="002E7232" w:rsidRDefault="002E7232" w:rsidP="002E7232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Smlouva nabývá platnosti podpisem obou smluvních stran.</w:t>
      </w:r>
    </w:p>
    <w:p w:rsidR="002E7232" w:rsidRDefault="002E7232" w:rsidP="002E7232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E7232" w:rsidRPr="00357CAD" w:rsidRDefault="002E7232" w:rsidP="002E7232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357CAD" w:rsidRDefault="00357CAD" w:rsidP="00357CAD">
      <w:pPr>
        <w:tabs>
          <w:tab w:val="left" w:pos="4035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57CAD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 </w:t>
      </w:r>
      <w:r w:rsidRPr="00357CAD">
        <w:rPr>
          <w:rFonts w:ascii="Arial" w:hAnsi="Arial" w:cs="Arial"/>
          <w:sz w:val="24"/>
          <w:szCs w:val="24"/>
        </w:rPr>
        <w:t>Olomouci</w:t>
      </w:r>
    </w:p>
    <w:p w:rsidR="00357CAD" w:rsidRDefault="00357CAD" w:rsidP="00357CAD">
      <w:pPr>
        <w:tabs>
          <w:tab w:val="left" w:pos="4035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357CAD" w:rsidRDefault="00357CAD" w:rsidP="00357CAD">
      <w:pPr>
        <w:tabs>
          <w:tab w:val="left" w:pos="4035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357CAD" w:rsidRDefault="00357CAD" w:rsidP="00357CAD">
      <w:pPr>
        <w:tabs>
          <w:tab w:val="left" w:pos="4035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357CAD" w:rsidRDefault="00357CAD" w:rsidP="00357CAD">
      <w:pPr>
        <w:tabs>
          <w:tab w:val="left" w:pos="4035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_________________                                       __________________  </w:t>
      </w:r>
    </w:p>
    <w:p w:rsidR="00143B5F" w:rsidRPr="00357CAD" w:rsidRDefault="00357CAD" w:rsidP="00357CAD">
      <w:pPr>
        <w:tabs>
          <w:tab w:val="left" w:pos="4035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Nezaopatřená osoba                                   </w:t>
      </w:r>
      <w:r w:rsidR="00FF4610">
        <w:rPr>
          <w:rFonts w:ascii="Arial" w:hAnsi="Arial" w:cs="Arial"/>
          <w:sz w:val="24"/>
          <w:szCs w:val="24"/>
        </w:rPr>
        <w:t>PhDr. Mgr. Petr Němec, DiS.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10DAC" w:rsidRPr="00357CAD" w:rsidRDefault="00357CAD" w:rsidP="00357CAD">
      <w:pPr>
        <w:tabs>
          <w:tab w:val="left" w:pos="6450"/>
        </w:tabs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57CAD">
        <w:rPr>
          <w:rFonts w:ascii="Arial" w:hAnsi="Arial" w:cs="Arial"/>
          <w:sz w:val="24"/>
          <w:szCs w:val="24"/>
        </w:rPr>
        <w:t>ředitel</w:t>
      </w:r>
    </w:p>
    <w:p w:rsidR="00C10DAC" w:rsidRPr="00C10DAC" w:rsidRDefault="00C10DAC" w:rsidP="00C10DAC">
      <w:pPr>
        <w:contextualSpacing/>
        <w:jc w:val="left"/>
        <w:rPr>
          <w:rFonts w:ascii="Arial" w:hAnsi="Arial" w:cs="Arial"/>
          <w:b/>
          <w:sz w:val="24"/>
          <w:szCs w:val="24"/>
        </w:rPr>
      </w:pPr>
    </w:p>
    <w:sectPr w:rsidR="00C10DAC" w:rsidRPr="00C10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6424"/>
    <w:multiLevelType w:val="hybridMultilevel"/>
    <w:tmpl w:val="9B8AA2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C1799"/>
    <w:multiLevelType w:val="hybridMultilevel"/>
    <w:tmpl w:val="5C56D9B0"/>
    <w:lvl w:ilvl="0" w:tplc="1E4ED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54256"/>
    <w:multiLevelType w:val="hybridMultilevel"/>
    <w:tmpl w:val="A2E6E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5110"/>
    <w:multiLevelType w:val="hybridMultilevel"/>
    <w:tmpl w:val="95D69EA6"/>
    <w:lvl w:ilvl="0" w:tplc="30DE1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8772C"/>
    <w:multiLevelType w:val="hybridMultilevel"/>
    <w:tmpl w:val="FAC062EE"/>
    <w:lvl w:ilvl="0" w:tplc="A4DC2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5664F4"/>
    <w:multiLevelType w:val="hybridMultilevel"/>
    <w:tmpl w:val="9D0C5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646FF"/>
    <w:multiLevelType w:val="hybridMultilevel"/>
    <w:tmpl w:val="60B2E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30715"/>
    <w:multiLevelType w:val="hybridMultilevel"/>
    <w:tmpl w:val="BE0666BE"/>
    <w:lvl w:ilvl="0" w:tplc="EAC4FC1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709E6"/>
    <w:multiLevelType w:val="hybridMultilevel"/>
    <w:tmpl w:val="F9FCD08A"/>
    <w:lvl w:ilvl="0" w:tplc="12768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927EC9"/>
    <w:multiLevelType w:val="hybridMultilevel"/>
    <w:tmpl w:val="1D30304C"/>
    <w:lvl w:ilvl="0" w:tplc="CBA61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65105E"/>
    <w:multiLevelType w:val="hybridMultilevel"/>
    <w:tmpl w:val="74A0A72C"/>
    <w:lvl w:ilvl="0" w:tplc="EA12750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43"/>
    <w:rsid w:val="000C1445"/>
    <w:rsid w:val="00143B5F"/>
    <w:rsid w:val="001743BF"/>
    <w:rsid w:val="0025207B"/>
    <w:rsid w:val="002E7232"/>
    <w:rsid w:val="00357CAD"/>
    <w:rsid w:val="00367B19"/>
    <w:rsid w:val="004C3C07"/>
    <w:rsid w:val="00537D1B"/>
    <w:rsid w:val="00641343"/>
    <w:rsid w:val="00691183"/>
    <w:rsid w:val="006C4410"/>
    <w:rsid w:val="007D2F16"/>
    <w:rsid w:val="007D5BE8"/>
    <w:rsid w:val="008474CC"/>
    <w:rsid w:val="008513E6"/>
    <w:rsid w:val="008877A8"/>
    <w:rsid w:val="00944B6E"/>
    <w:rsid w:val="00974F65"/>
    <w:rsid w:val="009819FB"/>
    <w:rsid w:val="00A4209C"/>
    <w:rsid w:val="00C10D32"/>
    <w:rsid w:val="00C10DAC"/>
    <w:rsid w:val="00C636B0"/>
    <w:rsid w:val="00D91A2E"/>
    <w:rsid w:val="00DA002B"/>
    <w:rsid w:val="00DD0EBB"/>
    <w:rsid w:val="00E53235"/>
    <w:rsid w:val="00F51DBF"/>
    <w:rsid w:val="00FC4B79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5C8E"/>
  <w15:chartTrackingRefBased/>
  <w15:docId w15:val="{B487FAA9-BFF9-444F-B9C8-5E3A3062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0D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7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bor%20K&#345;epsk&#253;\Documents\DETI\Smlouva-o-prodlouzenem-pobyt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Smlouva-o-prodlouzenem-pobytu</Template>
  <TotalTime>4</TotalTime>
  <Pages>4</Pages>
  <Words>1117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DDŠJ Olomouc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 Petr</dc:creator>
  <cp:keywords/>
  <dc:description/>
  <cp:lastModifiedBy>PhDr. Mgr. Petr Němec, DiS</cp:lastModifiedBy>
  <cp:revision>1</cp:revision>
  <cp:lastPrinted>2021-02-03T07:23:00Z</cp:lastPrinted>
  <dcterms:created xsi:type="dcterms:W3CDTF">2025-03-20T14:08:00Z</dcterms:created>
  <dcterms:modified xsi:type="dcterms:W3CDTF">2025-03-20T14:12:00Z</dcterms:modified>
</cp:coreProperties>
</file>